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0738" w14:textId="77777777" w:rsidR="006E2715" w:rsidRPr="006E2715" w:rsidRDefault="006E2715" w:rsidP="008328D7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380D7F3" w14:textId="721B9535" w:rsidR="00BB68D8" w:rsidRDefault="008934A8" w:rsidP="00BB68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6F0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r w:rsidR="00BF6696" w:rsidRPr="000D1F8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амарий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мен белсендірілген ц</w:t>
      </w:r>
      <w:r w:rsidR="00BF6696" w:rsidRPr="009C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ерий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окси</w:t>
      </w:r>
      <w:r w:rsidR="00BF6696" w:rsidRPr="009C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ді </w:t>
      </w:r>
      <w:r w:rsidR="00BF6696" w:rsidRPr="000237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ұнтақтары мен жұқа үлбірлерін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ің</w:t>
      </w:r>
      <w:r w:rsidR="00BF6696" w:rsidRPr="000D1F8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BF6696" w:rsidRPr="009C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ұрылымдық 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</w:t>
      </w:r>
      <w:r w:rsidR="00BF6696" w:rsidRPr="009C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әне 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</w:t>
      </w:r>
      <w:r w:rsidR="00BF6696" w:rsidRPr="009C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орфологиялық 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BF6696" w:rsidRPr="009C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асиеттерін </w:t>
      </w:r>
      <w:r w:rsidR="00BF669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</w:t>
      </w:r>
      <w:r w:rsidR="00BF6696" w:rsidRPr="009C7CC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ерттеу</w:t>
      </w:r>
      <w:r w:rsidRPr="00ED6F0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4613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738178E" w14:textId="5BFE3328" w:rsidR="00BF6696" w:rsidRPr="00BF6696" w:rsidRDefault="00BF6696" w:rsidP="00BB68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мақаласына ПІКІР</w:t>
      </w:r>
    </w:p>
    <w:p w14:paraId="00E92846" w14:textId="382DF288" w:rsidR="008934A8" w:rsidRPr="00BF6696" w:rsidRDefault="00BF6696" w:rsidP="00BB68D8">
      <w:pPr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F6696">
        <w:rPr>
          <w:rFonts w:ascii="Times New Roman" w:hAnsi="Times New Roman" w:cs="Times New Roman"/>
          <w:b/>
          <w:sz w:val="24"/>
          <w:szCs w:val="24"/>
          <w:lang w:val="kk-KZ" w:eastAsia="ru-RU"/>
        </w:rPr>
        <w:t>Мақала арналған мәселенің сипаттамасы</w:t>
      </w:r>
      <w:r w:rsidR="008934A8" w:rsidRPr="00BF6696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0BBAB23E" w14:textId="77777777" w:rsidR="00A86654" w:rsidRPr="00BF6696" w:rsidRDefault="00A86654" w:rsidP="00A8665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kk-KZ"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934A8" w:rsidRPr="00BF6696" w14:paraId="14B1723D" w14:textId="77777777" w:rsidTr="001036E6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03E44" w14:textId="4AB672A4" w:rsidR="00A86654" w:rsidRPr="00F54696" w:rsidRDefault="00BF6696" w:rsidP="00BF6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Мақалада қ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атты оксидті отын элементтері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(SOFC) үшін құрамы 26% самарий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белсендірілген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й оксиді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(SDC) </w:t>
            </w:r>
            <w:r w:rsidRPr="00DB3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ұнтақтары мен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үлбірлерін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 зерттеу қарастырылады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SDC ұнтақтары мен жұқа </w:t>
            </w:r>
            <w:r w:rsidRPr="00DB3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үлбірлерін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 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глицин-нитраттың жануы (CB), бірге тұндыру (CP) және сулы золь-гель (SG)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қолданылады және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алынған үлгілерді талдау әдістері сипатталған.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Алынған б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арлық ұнтақтар 200-ден 1000℃ градусқа дейін қыздырыл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ып, 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самариймен белсендірілген церийдің кристалдық құрылымы аса жоғары температурада 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тынын көрсетеді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Қыздырылған ұнтақтардың тор параметрі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кристаллит өлше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қыздыру температурасының жоғарылауымен үлкейе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тінін көрсетеді 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және тор параметрі теориялық мәндерден жоғары болады.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Эксперимент нәтижелері жұқа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үлбірлердің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кристаллит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інің орташа өлше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қалың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дығының жоғарылауымен өсетінін айқындады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Қолданылатын синтездің ішінде CB әдісі бірге тұндыру мен золь-гель әдістерімен салыстырғанда жақсы нәтижелерге ие деп саналады. SiO</w:t>
            </w:r>
            <w:r w:rsidRPr="009931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төсенішіне тұндырылған жұқа үлбірлердің тор параметрінің эксперименттік мәндері теориялық мәннен жоғары болды. Қалыңдығы жоғарылаған сайын SiO</w:t>
            </w:r>
            <w:r w:rsidRPr="009931A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төсеншіне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тұндырылған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жұқа үлбірлердің кристаллитінің орташа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өлшем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артады.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томдық күштік микроскоп 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нәтижелері жұқа үлбірлердің бетінің кедір-бұдырлығының орташа мәндері қалыңдығының жоғарылауымен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өсетіндігін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F1A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і.</w:t>
            </w:r>
            <w:r w:rsidRPr="009931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Тиісті бағдарлам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алық жасақтаманы қолдана отырып</w:t>
            </w:r>
            <w:r w:rsidRPr="000A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беттің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орташа кедір-бұдырлығы (</w:t>
            </w:r>
            <w:r w:rsidRPr="0011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R</w:t>
            </w:r>
            <w:r w:rsidRPr="0011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), </w:t>
            </w:r>
            <w:r w:rsidRPr="000A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орташа квадраттық кедір-бұдырлығы (R</w:t>
            </w:r>
            <w:r w:rsidRPr="0011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q</w:t>
            </w:r>
            <w:r w:rsidRPr="000A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), </w:t>
            </w:r>
            <w:r w:rsidRPr="00DF25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A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(R</w:t>
            </w:r>
            <w:r w:rsidRPr="0011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ku</w:t>
            </w:r>
            <w:r w:rsidRPr="000A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11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симметрия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</w:t>
            </w:r>
            <w:r w:rsidRPr="000A3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(R</w:t>
            </w:r>
            <w:r w:rsidRPr="00113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 сипатталды.</w:t>
            </w:r>
          </w:p>
        </w:tc>
      </w:tr>
    </w:tbl>
    <w:p w14:paraId="76783A7A" w14:textId="77777777" w:rsidR="008934A8" w:rsidRPr="00BB68D8" w:rsidRDefault="008934A8" w:rsidP="00893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7D68583C" w14:textId="1E802DA6" w:rsidR="008934A8" w:rsidRPr="00BF6696" w:rsidRDefault="00BF6696" w:rsidP="00BF66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F6696">
        <w:rPr>
          <w:rFonts w:ascii="Times New Roman" w:hAnsi="Times New Roman" w:cs="Times New Roman"/>
          <w:b/>
          <w:sz w:val="24"/>
          <w:szCs w:val="24"/>
          <w:lang w:val="kk-KZ" w:eastAsia="ru-RU"/>
        </w:rPr>
        <w:t>Зерттелетін мәселенің өзектілігі дәрежесін, ұқсас зерттеулермен салыстыруды, зерттеу әдістерін, нәтижелерді және т. б. қамтитын мақаланы талдау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F6696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автордың мақалада ашқан маңызды аспектілері </w:t>
      </w:r>
      <w:r w:rsidRPr="00BF6696">
        <w:rPr>
          <w:rFonts w:ascii="Times New Roman" w:hAnsi="Times New Roman" w:cs="Times New Roman"/>
          <w:sz w:val="24"/>
          <w:szCs w:val="24"/>
          <w:lang w:val="kk-KZ" w:eastAsia="ru-RU"/>
        </w:rPr>
        <w:t>(қажет болғанша көп орынды пайдаланыңыз)</w:t>
      </w:r>
      <w:r w:rsidR="003E1926" w:rsidRPr="00BF6696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</w:p>
    <w:p w14:paraId="270DEC69" w14:textId="77777777" w:rsidR="00C32F83" w:rsidRPr="00BF6696" w:rsidRDefault="00C32F83" w:rsidP="00C32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934A8" w:rsidRPr="00DC4169" w14:paraId="0BC1598A" w14:textId="77777777" w:rsidTr="001036E6">
        <w:trPr>
          <w:tblCellSpacing w:w="15" w:type="dxa"/>
          <w:jc w:val="center"/>
        </w:trPr>
        <w:tc>
          <w:tcPr>
            <w:tcW w:w="9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14E56" w14:textId="42086D43" w:rsidR="00DC4169" w:rsidRDefault="00DC4169" w:rsidP="00BB6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 оксидті отын элементтері 800°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-тан 1000°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 дейінгі жоғары температурада жұмыс істей алатын электролит ретінде иттри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тұрақтандырылған циркони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(ИТЦ)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(YSZ) жұмыс істейді.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 температуралар электролитте жеткілікті иондық өткізгіштікке ие болу үшін қажет. Осыған қарамастан, оның өндіріс құнына, коммерцияландыруға және т.б. байланысты электролит ретінде пайдаланудың кейбір кемшіліктері бар. Егер керамикалық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негіздегі отын элементтерін 650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С-тан аз жұмыс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стеуге болатын болса, онда ұяшықтың құрылысында әлдеқайда арзан материалдарды қолдануға болады. Жұмыс температурасын азайту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қызмет ету мерзімін ұзарту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құрамдас материалдардың таңдауын кеңейту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мүмкін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дік береді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Зерттеулерде цери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негізіндегі электролиттік материалдарды қолдану арқылы жұмыс температурасы төмендетілді, мысалы, самарий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 белсендірілген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5C2A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SDC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), гадолиний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0A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белсендірілген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церий (</w:t>
            </w:r>
            <w:r w:rsidRPr="005C2A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GDC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  Олар 400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С-тан 800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С-қа дейінгі жұмыс температурасында ең жақсы ион өткізгіштігін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қамтамассыз ете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алады. Самари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ймен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0A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белсендірілген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церийдің жұқа қабықшаларын электролит материалы ретінде самарийдің әртүрлі құрамымен талда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нып 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лген</w:t>
            </w:r>
            <w:r w:rsidRPr="00000F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9FCF04" w14:textId="77777777" w:rsidR="009A7696" w:rsidRDefault="00DC4169" w:rsidP="00BB6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29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нысаны ретінде құрамында самарий мөлшері x=0,26 болатын Sm</w:t>
            </w:r>
            <w:r w:rsidRPr="00CF22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0.26</w:t>
            </w:r>
            <w:r w:rsidRPr="008A29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Ce</w:t>
            </w:r>
            <w:r w:rsidRPr="00CF22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0.74</w:t>
            </w:r>
            <w:r w:rsidRPr="008A29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CF22E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1.95</w:t>
            </w:r>
            <w:r w:rsidRPr="008A29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(26SDC) самариймен белсендірілген церий ұнтағы үш түрлі синтез арқылы: глицин-нитраттың жануы (CB), бірге тұндыру (CP) және сулы золь-гель (SG) дайындалды.</w:t>
            </w:r>
          </w:p>
          <w:p w14:paraId="3C130404" w14:textId="77777777" w:rsidR="00DC4169" w:rsidRDefault="00DC4169" w:rsidP="00BB6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2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Жану синтезі</w:t>
            </w:r>
            <w:r w:rsidRPr="008A29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арқылы SDC керамикалық ұнтақтарын алу үшін катиондар ретінде церий мен самарий нитратының гексагидраттары, ал отын ретінде глицин нитраты (барлық пайдаланылған қосылыстар Sigma Aldrich сатып алынды) пайдаланылды.</w:t>
            </w:r>
          </w:p>
          <w:p w14:paraId="59B4A370" w14:textId="77777777" w:rsidR="00DC4169" w:rsidRDefault="00DC4169" w:rsidP="00BB6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52C62">
              <w:rPr>
                <w:rFonts w:ascii="Times New Roman" w:eastAsia="Times New Roman" w:hAnsi="Times New Roman" w:cs="Times New Roman"/>
                <w:i/>
                <w:lang w:val="kk-KZ"/>
              </w:rPr>
              <w:t>Бірге тұндыру</w:t>
            </w:r>
            <w:r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 xml:space="preserve">синтезі процесінде бастапқы прекурсорлар ретінде қымыздық қышқылы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(С</w:t>
            </w:r>
            <w:r w:rsidRPr="00852C62">
              <w:rPr>
                <w:rFonts w:ascii="Times New Roman" w:eastAsia="Times New Roman" w:hAnsi="Times New Roman" w:cs="Times New Roman"/>
                <w:vertAlign w:val="subscript"/>
                <w:lang w:val="kk-KZ"/>
              </w:rPr>
              <w:t>2</w:t>
            </w:r>
            <w:r>
              <w:rPr>
                <w:rFonts w:ascii="Times New Roman" w:eastAsia="Cambria Math" w:hAnsi="Times New Roman" w:cs="Times New Roman"/>
                <w:lang w:val="kk-KZ"/>
              </w:rPr>
              <w:t>Н</w:t>
            </w:r>
            <w:r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2</w:t>
            </w:r>
            <w:r>
              <w:rPr>
                <w:rFonts w:ascii="Times New Roman" w:eastAsia="Cambria Math" w:hAnsi="Times New Roman" w:cs="Times New Roman"/>
                <w:lang w:val="kk-KZ"/>
              </w:rPr>
              <w:t>О</w:t>
            </w:r>
            <w:r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4</w:t>
            </w:r>
            <w:r w:rsidRPr="00852C62">
              <w:rPr>
                <w:rFonts w:ascii="Times New Roman" w:eastAsia="Cambria Math" w:hAnsi="Times New Roman" w:cs="Times New Roman"/>
                <w:lang w:val="kk-KZ"/>
              </w:rPr>
              <w:t xml:space="preserve"> ≥</w:t>
            </w:r>
            <w:r w:rsidRPr="00A722C4">
              <w:rPr>
                <w:rFonts w:ascii="Times New Roman" w:eastAsia="Cambria Math" w:hAnsi="Times New Roman" w:cs="Times New Roman"/>
                <w:lang w:val="kk-KZ"/>
              </w:rPr>
              <w:t xml:space="preserve"> 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 xml:space="preserve">99.0 %)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мен 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 xml:space="preserve"> аммоний гидроксиді (NH</w:t>
            </w:r>
            <w:r w:rsidRPr="00A722C4">
              <w:rPr>
                <w:rFonts w:ascii="Times New Roman" w:eastAsia="Times New Roman" w:hAnsi="Times New Roman" w:cs="Times New Roman"/>
                <w:vertAlign w:val="subscript"/>
                <w:lang w:val="kk-KZ"/>
              </w:rPr>
              <w:t>4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>OH, 25%) таңдалды, ал церий (</w:t>
            </w:r>
            <w:r w:rsidRPr="00A722C4">
              <w:rPr>
                <w:rFonts w:ascii="Times New Roman" w:eastAsia="Cambria Math" w:hAnsi="Times New Roman" w:cs="Times New Roman"/>
                <w:lang w:val="kk-KZ"/>
              </w:rPr>
              <w:t>(</w:t>
            </w:r>
            <w:r w:rsidRPr="00852C62">
              <w:rPr>
                <w:rFonts w:ascii="Times New Roman" w:eastAsia="Cambria Math" w:hAnsi="Times New Roman" w:cs="Times New Roman"/>
                <w:lang w:val="kk-KZ"/>
              </w:rPr>
              <w:t>NO</w:t>
            </w:r>
            <w:r w:rsidRPr="00852C62"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3</w:t>
            </w:r>
            <w:r w:rsidRPr="00A722C4">
              <w:rPr>
                <w:rFonts w:ascii="Times New Roman" w:eastAsia="Cambria Math" w:hAnsi="Times New Roman" w:cs="Times New Roman"/>
                <w:lang w:val="kk-KZ"/>
              </w:rPr>
              <w:t>)</w:t>
            </w:r>
            <w:r w:rsidRPr="00A722C4"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3</w:t>
            </w:r>
            <w:r w:rsidRPr="00852C62">
              <w:rPr>
                <w:rFonts w:ascii="Times New Roman" w:eastAsia="Cambria Math" w:hAnsi="Times New Roman" w:cs="Times New Roman"/>
                <w:lang w:val="kk-KZ"/>
              </w:rPr>
              <w:t>*</w:t>
            </w:r>
            <w:r w:rsidRPr="00A722C4">
              <w:rPr>
                <w:rFonts w:ascii="Times New Roman" w:eastAsia="Cambria Math" w:hAnsi="Times New Roman" w:cs="Times New Roman"/>
                <w:lang w:val="kk-KZ"/>
              </w:rPr>
              <w:t>6</w:t>
            </w:r>
            <w:r w:rsidRPr="00852C62">
              <w:rPr>
                <w:rFonts w:ascii="Cambria Math" w:eastAsia="Cambria Math" w:hAnsi="Cambria Math" w:cs="Cambria Math"/>
                <w:lang w:val="kk-KZ"/>
              </w:rPr>
              <w:t>H</w:t>
            </w:r>
            <w:r w:rsidRPr="00A722C4"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2</w:t>
            </w:r>
            <w:r w:rsidRPr="00852C62">
              <w:rPr>
                <w:rFonts w:ascii="Cambria Math" w:eastAsia="Cambria Math" w:hAnsi="Cambria Math" w:cs="Cambria Math"/>
                <w:lang w:val="kk-KZ"/>
              </w:rPr>
              <w:t>O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>, 99%) және самарий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>(</w:t>
            </w:r>
            <w:r w:rsidRPr="00A722C4">
              <w:rPr>
                <w:rFonts w:ascii="Times New Roman" w:eastAsia="Cambria Math" w:hAnsi="Times New Roman" w:cs="Times New Roman"/>
                <w:lang w:val="kk-KZ"/>
              </w:rPr>
              <w:t>(</w:t>
            </w:r>
            <w:r w:rsidRPr="00852C62">
              <w:rPr>
                <w:rFonts w:ascii="Times New Roman" w:eastAsia="Cambria Math" w:hAnsi="Times New Roman" w:cs="Times New Roman"/>
                <w:lang w:val="kk-KZ"/>
              </w:rPr>
              <w:t>NO</w:t>
            </w:r>
            <w:r w:rsidRPr="00852C62"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3</w:t>
            </w:r>
            <w:r w:rsidRPr="00A722C4">
              <w:rPr>
                <w:rFonts w:ascii="Times New Roman" w:eastAsia="Cambria Math" w:hAnsi="Times New Roman" w:cs="Times New Roman"/>
                <w:lang w:val="kk-KZ"/>
              </w:rPr>
              <w:t>)</w:t>
            </w:r>
            <w:r w:rsidRPr="00A722C4"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3</w:t>
            </w:r>
            <w:r w:rsidRPr="00852C62">
              <w:rPr>
                <w:rFonts w:ascii="Times New Roman" w:eastAsia="Cambria Math" w:hAnsi="Times New Roman" w:cs="Times New Roman"/>
                <w:lang w:val="kk-KZ"/>
              </w:rPr>
              <w:t>*</w:t>
            </w:r>
            <w:r w:rsidRPr="00A722C4">
              <w:rPr>
                <w:rFonts w:ascii="Times New Roman" w:eastAsia="Cambria Math" w:hAnsi="Times New Roman" w:cs="Times New Roman"/>
                <w:lang w:val="kk-KZ"/>
              </w:rPr>
              <w:t>6</w:t>
            </w:r>
            <w:r w:rsidRPr="00852C62">
              <w:rPr>
                <w:rFonts w:ascii="Cambria Math" w:eastAsia="Cambria Math" w:hAnsi="Cambria Math" w:cs="Cambria Math"/>
                <w:lang w:val="kk-KZ"/>
              </w:rPr>
              <w:t>H</w:t>
            </w:r>
            <w:r w:rsidRPr="00A722C4">
              <w:rPr>
                <w:rFonts w:ascii="Times New Roman" w:eastAsia="Cambria Math" w:hAnsi="Times New Roman" w:cs="Times New Roman"/>
                <w:vertAlign w:val="subscript"/>
                <w:lang w:val="kk-KZ"/>
              </w:rPr>
              <w:t>2</w:t>
            </w:r>
            <w:r w:rsidRPr="00852C62">
              <w:rPr>
                <w:rFonts w:ascii="Cambria Math" w:eastAsia="Cambria Math" w:hAnsi="Cambria Math" w:cs="Cambria Math"/>
                <w:lang w:val="kk-KZ"/>
              </w:rPr>
              <w:t>O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 xml:space="preserve">, 99.9%)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52C62">
              <w:rPr>
                <w:rFonts w:ascii="Times New Roman" w:eastAsia="Times New Roman" w:hAnsi="Times New Roman" w:cs="Times New Roman"/>
                <w:lang w:val="kk-KZ"/>
              </w:rPr>
              <w:t>нитрат гексагидрат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тар</w:t>
            </w:r>
            <w:r w:rsidRPr="00852C62">
              <w:rPr>
                <w:rFonts w:ascii="Times New Roman" w:eastAsia="Times New Roman" w:hAnsi="Times New Roman" w:cs="Times New Roman"/>
                <w:lang w:val="kk-KZ"/>
              </w:rPr>
              <w:t>ы (Sigma Aldrich)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722C4">
              <w:rPr>
                <w:rFonts w:ascii="Times New Roman" w:eastAsia="Times New Roman" w:hAnsi="Times New Roman" w:cs="Times New Roman"/>
                <w:lang w:val="kk-KZ"/>
              </w:rPr>
              <w:t>металл прекурсорлары ретінде таңдалды.</w:t>
            </w:r>
          </w:p>
          <w:p w14:paraId="7FF5DFD0" w14:textId="77777777" w:rsidR="00DC4169" w:rsidRDefault="00DC4169" w:rsidP="00BB6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6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Золь-гель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синтезі кезінде самарий оксиді (Sm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AlfaAesar), аммоний церий нитраты ((NH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Ce(NO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), шарап қышқылы (C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6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6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 (Sigma Aldrich) және азот қышқылы (HNO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6261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Reachem) қолданылды.</w:t>
            </w:r>
          </w:p>
          <w:p w14:paraId="3536A0BE" w14:textId="68A2B739" w:rsidR="00DC4169" w:rsidRPr="00F54696" w:rsidRDefault="00DC4169" w:rsidP="00BB6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Қолданылатын үш химиялық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синтездің </w:t>
            </w: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ішінде CB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әдісі бірге тұндыру мен</w:t>
            </w: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оль-гель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әдістерімен </w:t>
            </w: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салыстырғанда жақсы нәтижелерге ие деп саналады. Жану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дың </w:t>
            </w: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химиялық процесі кезінде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нитраттар мен қышқылдардың булануына әкеле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тін</w:t>
            </w:r>
            <w:r w:rsidRPr="009C0D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термиялық өңдеу қолданылады. </w:t>
            </w:r>
            <w:r w:rsidRPr="00E64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Барлық ұнтақтар 200-ден 1000℃ градусқа дейін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қыздырылады </w:t>
            </w:r>
            <w:r w:rsidRPr="00E64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және самари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ймен белсендірілген </w:t>
            </w:r>
            <w:r w:rsidRPr="00E64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йдің </w:t>
            </w:r>
            <w:r w:rsidRPr="00E64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кристалдық құрылымы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аса </w:t>
            </w:r>
            <w:r w:rsidRPr="00E64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температурада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64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дами бастайды.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Сондықтан басқа прекурсорлық бөлшектердің болуын азайту үшін барлық ұнтақтар 1000℃ температурада күйдірілді.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Қыздырылған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ұнтақтардың тор параметрі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қыздыру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ның жоғарылауымен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үлкейеді және олар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теориялық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мәндерден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болады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Қыздырылған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ұнтақтардың кристаллит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өлше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 температураның жоғарылауымен өсуге бейім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болып табылады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Ұнтақтар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қыздырылмаған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кезде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CB үшін 19,61 нм, CP үшін 33,49 нм және SG үшін 13,25 нм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ған болса,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қыздырыл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ғаннан соң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CB үшін 35,41 нм, CP үшін 38,97 нм және SG ұнтақтары үшін 31,266 нм аяқталды. SiO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2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төсенішіне тұндырылған 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жұқа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үлбірлердің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тор параметрінің эксперименттік мәндері теориялық мәннен жоғары болды. Қалыңдығы жоғарылаған сайын SiO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kk-KZ"/>
              </w:rPr>
              <w:t>2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төсеншіне тұндырылған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жұқа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үлбірлерді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кристаллитінің орташа өлше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 артады.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КМ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 жұқа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үлбірлерді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ң бетінің кедір-бұдырлығының орташа мәндері қалыңдығының жоғарылауымен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өсетіндігін</w:t>
            </w:r>
            <w:r w:rsidRPr="006F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көрсетеді.</w:t>
            </w:r>
          </w:p>
        </w:tc>
      </w:tr>
    </w:tbl>
    <w:p w14:paraId="1394C5AC" w14:textId="77777777" w:rsidR="008934A8" w:rsidRPr="00BB68D8" w:rsidRDefault="008934A8" w:rsidP="00893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4D701659" w14:textId="6711CAB1" w:rsidR="008328D7" w:rsidRPr="00516B42" w:rsidRDefault="00516B42" w:rsidP="00516B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516B42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Жоғарыда айтылғандарға сүйене отырып </w:t>
      </w:r>
      <w:r w:rsidRPr="00516B42">
        <w:rPr>
          <w:rFonts w:ascii="Times New Roman" w:hAnsi="Times New Roman" w:cs="Times New Roman"/>
          <w:sz w:val="24"/>
          <w:szCs w:val="24"/>
          <w:lang w:val="kk-KZ" w:eastAsia="ru-RU"/>
        </w:rPr>
        <w:t>(100 балдық шкала бойынша бағалау):</w:t>
      </w:r>
    </w:p>
    <w:p w14:paraId="60163D61" w14:textId="77777777" w:rsidR="0001672A" w:rsidRPr="00516B42" w:rsidRDefault="0001672A" w:rsidP="000167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TableGrid"/>
        <w:tblW w:w="9570" w:type="dxa"/>
        <w:tblInd w:w="421" w:type="dxa"/>
        <w:tblLook w:val="04A0" w:firstRow="1" w:lastRow="0" w:firstColumn="1" w:lastColumn="0" w:noHBand="0" w:noVBand="1"/>
      </w:tblPr>
      <w:tblGrid>
        <w:gridCol w:w="4667"/>
        <w:gridCol w:w="990"/>
        <w:gridCol w:w="851"/>
        <w:gridCol w:w="950"/>
        <w:gridCol w:w="993"/>
        <w:gridCol w:w="1119"/>
      </w:tblGrid>
      <w:tr w:rsidR="0001672A" w:rsidRPr="00F724D0" w14:paraId="4B762B7A" w14:textId="77777777" w:rsidTr="00573031">
        <w:tc>
          <w:tcPr>
            <w:tcW w:w="4677" w:type="dxa"/>
          </w:tcPr>
          <w:p w14:paraId="503DA567" w14:textId="77777777" w:rsidR="0001672A" w:rsidRPr="00516B42" w:rsidRDefault="0001672A" w:rsidP="00016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991" w:type="dxa"/>
          </w:tcPr>
          <w:p w14:paraId="276612B8" w14:textId="77777777" w:rsidR="00516B42" w:rsidRPr="00516B42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өте төмен</w:t>
            </w:r>
          </w:p>
          <w:p w14:paraId="46761B9F" w14:textId="11E8DE69" w:rsidR="00ED4408" w:rsidRPr="00573031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(0-20 ұпай)</w:t>
            </w:r>
          </w:p>
        </w:tc>
        <w:tc>
          <w:tcPr>
            <w:tcW w:w="851" w:type="dxa"/>
          </w:tcPr>
          <w:p w14:paraId="5FF899DB" w14:textId="77777777" w:rsidR="00516B42" w:rsidRPr="00516B42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Төмен</w:t>
            </w:r>
          </w:p>
          <w:p w14:paraId="12CC11C0" w14:textId="5F334FFB" w:rsidR="00ED4408" w:rsidRPr="00573031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(21-40 ұпай)</w:t>
            </w:r>
          </w:p>
        </w:tc>
        <w:tc>
          <w:tcPr>
            <w:tcW w:w="938" w:type="dxa"/>
          </w:tcPr>
          <w:p w14:paraId="148D0A86" w14:textId="77777777" w:rsidR="00516B42" w:rsidRPr="00516B42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Орташа</w:t>
            </w:r>
          </w:p>
          <w:p w14:paraId="3B6FAA68" w14:textId="01D97972" w:rsidR="00ED4408" w:rsidRPr="00573031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(41-60 ұпай)</w:t>
            </w:r>
          </w:p>
        </w:tc>
        <w:tc>
          <w:tcPr>
            <w:tcW w:w="993" w:type="dxa"/>
          </w:tcPr>
          <w:p w14:paraId="07A44EB4" w14:textId="77777777" w:rsidR="00516B42" w:rsidRPr="00516B42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Жоғары</w:t>
            </w:r>
          </w:p>
          <w:p w14:paraId="1C8C24AC" w14:textId="456BFDC5" w:rsidR="00ED4408" w:rsidRPr="00573031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(61-80 ұпай)</w:t>
            </w:r>
          </w:p>
        </w:tc>
        <w:tc>
          <w:tcPr>
            <w:tcW w:w="1120" w:type="dxa"/>
          </w:tcPr>
          <w:p w14:paraId="253127FE" w14:textId="77777777" w:rsidR="00516B42" w:rsidRPr="00516B42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өте жоғары</w:t>
            </w:r>
          </w:p>
          <w:p w14:paraId="6B843F1D" w14:textId="69D8121D" w:rsidR="00ED4408" w:rsidRPr="00573031" w:rsidRDefault="00516B42" w:rsidP="0051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lang w:eastAsia="ru-RU"/>
              </w:rPr>
            </w:pPr>
            <w:r w:rsidRPr="00516B42">
              <w:rPr>
                <w:rFonts w:ascii="Times New Roman" w:hAnsi="Times New Roman" w:cs="Times New Roman"/>
                <w:b/>
                <w:sz w:val="20"/>
                <w:lang w:eastAsia="ru-RU"/>
              </w:rPr>
              <w:t>(81-100 ұпай)</w:t>
            </w:r>
          </w:p>
        </w:tc>
      </w:tr>
      <w:tr w:rsidR="0001672A" w:rsidRPr="00F724D0" w14:paraId="007252E9" w14:textId="77777777" w:rsidTr="00573031">
        <w:tc>
          <w:tcPr>
            <w:tcW w:w="4677" w:type="dxa"/>
          </w:tcPr>
          <w:p w14:paraId="0F6ECF8D" w14:textId="013DA386" w:rsidR="0001672A" w:rsidRPr="00516B42" w:rsidRDefault="00516B42" w:rsidP="00516B4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16B42">
              <w:rPr>
                <w:rFonts w:ascii="Times New Roman" w:hAnsi="Times New Roman" w:cs="Times New Roman"/>
                <w:lang w:eastAsia="ru-RU"/>
              </w:rPr>
              <w:t>зерттелетін мәселенің өзектілігі дәрежесі</w:t>
            </w:r>
          </w:p>
        </w:tc>
        <w:tc>
          <w:tcPr>
            <w:tcW w:w="991" w:type="dxa"/>
          </w:tcPr>
          <w:p w14:paraId="291CFABD" w14:textId="77777777" w:rsidR="0001672A" w:rsidRPr="00F724D0" w:rsidRDefault="0001672A" w:rsidP="00016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7CBE612" w14:textId="77777777" w:rsidR="0001672A" w:rsidRPr="00F724D0" w:rsidRDefault="0001672A" w:rsidP="00016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</w:tcPr>
          <w:p w14:paraId="44463055" w14:textId="77777777" w:rsidR="0001672A" w:rsidRPr="00F724D0" w:rsidRDefault="0001672A" w:rsidP="00016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53B90704" w14:textId="77777777" w:rsidR="0001672A" w:rsidRPr="00EB2430" w:rsidRDefault="00EB2430" w:rsidP="00016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*</w:t>
            </w:r>
          </w:p>
        </w:tc>
        <w:tc>
          <w:tcPr>
            <w:tcW w:w="1120" w:type="dxa"/>
          </w:tcPr>
          <w:p w14:paraId="7C4F11FF" w14:textId="77777777" w:rsidR="0001672A" w:rsidRPr="00BB68D8" w:rsidRDefault="0001672A" w:rsidP="00016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9235FC" w:rsidRPr="00F724D0" w14:paraId="38008608" w14:textId="77777777" w:rsidTr="00573031">
        <w:tc>
          <w:tcPr>
            <w:tcW w:w="4677" w:type="dxa"/>
          </w:tcPr>
          <w:p w14:paraId="3CE35E15" w14:textId="505ABF01" w:rsidR="009235FC" w:rsidRPr="00F724D0" w:rsidRDefault="00134101" w:rsidP="009E02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b) </w:t>
            </w:r>
            <w:r w:rsidR="00516B42" w:rsidRPr="00516B42">
              <w:rPr>
                <w:rFonts w:ascii="Times New Roman" w:hAnsi="Times New Roman" w:cs="Times New Roman"/>
                <w:lang w:eastAsia="ru-RU"/>
              </w:rPr>
              <w:t>Алынған нәтижелер деңгейі - ғылыми салаға қосқан үлесі</w:t>
            </w:r>
          </w:p>
        </w:tc>
        <w:tc>
          <w:tcPr>
            <w:tcW w:w="991" w:type="dxa"/>
          </w:tcPr>
          <w:p w14:paraId="799D1043" w14:textId="77777777" w:rsidR="009235FC" w:rsidRPr="00F724D0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985CE55" w14:textId="77777777" w:rsidR="009235FC" w:rsidRPr="00F724D0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</w:tcPr>
          <w:p w14:paraId="3D494D40" w14:textId="77777777" w:rsidR="009235FC" w:rsidRPr="00F724D0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402556D5" w14:textId="77777777" w:rsidR="009235FC" w:rsidRPr="00BB68D8" w:rsidRDefault="00BB68D8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*</w:t>
            </w:r>
          </w:p>
        </w:tc>
        <w:tc>
          <w:tcPr>
            <w:tcW w:w="1120" w:type="dxa"/>
          </w:tcPr>
          <w:p w14:paraId="73810743" w14:textId="77777777" w:rsidR="009235FC" w:rsidRPr="00F724D0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235FC" w:rsidRPr="00F724D0" w14:paraId="76F583B9" w14:textId="77777777" w:rsidTr="00573031">
        <w:tc>
          <w:tcPr>
            <w:tcW w:w="4677" w:type="dxa"/>
          </w:tcPr>
          <w:p w14:paraId="0722C1F1" w14:textId="2A602153" w:rsidR="009235FC" w:rsidRPr="00F724D0" w:rsidRDefault="009235FC" w:rsidP="00D166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c</w:t>
            </w:r>
            <w:r w:rsidRPr="00DE269A">
              <w:rPr>
                <w:rFonts w:ascii="Times New Roman" w:hAnsi="Times New Roman" w:cs="Times New Roman"/>
                <w:lang w:eastAsia="ru-RU"/>
              </w:rPr>
              <w:t>)</w:t>
            </w:r>
            <w:r w:rsidRPr="00F724D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16B42" w:rsidRPr="00516B42">
              <w:rPr>
                <w:rFonts w:ascii="Times New Roman" w:hAnsi="Times New Roman" w:cs="Times New Roman"/>
                <w:lang w:eastAsia="ru-RU"/>
              </w:rPr>
              <w:t>Мақаланың оқылуы, маман емес адамға арналған мақаланың оқылуы</w:t>
            </w:r>
          </w:p>
        </w:tc>
        <w:tc>
          <w:tcPr>
            <w:tcW w:w="991" w:type="dxa"/>
          </w:tcPr>
          <w:p w14:paraId="5B76F6A4" w14:textId="77777777" w:rsidR="009235FC" w:rsidRPr="00F724D0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DE0E557" w14:textId="77777777" w:rsidR="009235FC" w:rsidRPr="00F724D0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8" w:type="dxa"/>
          </w:tcPr>
          <w:p w14:paraId="37CB2CCC" w14:textId="77777777" w:rsidR="009235FC" w:rsidRPr="00F724D0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0882610F" w14:textId="743D8242" w:rsidR="009235FC" w:rsidRPr="00F724D0" w:rsidRDefault="00516B42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*</w:t>
            </w:r>
          </w:p>
        </w:tc>
        <w:tc>
          <w:tcPr>
            <w:tcW w:w="1120" w:type="dxa"/>
          </w:tcPr>
          <w:p w14:paraId="0CD232DA" w14:textId="7A3C3EAE" w:rsidR="009235FC" w:rsidRPr="00BB68D8" w:rsidRDefault="009235FC" w:rsidP="00923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</w:tbl>
    <w:p w14:paraId="43CB48B1" w14:textId="77777777" w:rsidR="0001672A" w:rsidRPr="00ED6F00" w:rsidRDefault="0001672A" w:rsidP="000167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B08B23" w14:textId="5FE078ED" w:rsidR="00C26D53" w:rsidRPr="009612B5" w:rsidRDefault="00516B42" w:rsidP="00516B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12B5">
        <w:rPr>
          <w:rFonts w:ascii="Times New Roman" w:hAnsi="Times New Roman" w:cs="Times New Roman"/>
          <w:b/>
          <w:sz w:val="24"/>
          <w:szCs w:val="24"/>
          <w:lang w:eastAsia="ru-RU"/>
        </w:rPr>
        <w:t>Қорытынды</w:t>
      </w:r>
      <w:r w:rsidR="00C26D53" w:rsidRPr="009612B5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57D69993" w14:textId="77777777" w:rsidR="008328D7" w:rsidRPr="009612B5" w:rsidRDefault="008328D7" w:rsidP="00C26D5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8C6A" w14:textId="60CC508F" w:rsidR="00336C93" w:rsidRPr="009612B5" w:rsidRDefault="00516B42" w:rsidP="00516B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12B5">
        <w:rPr>
          <w:rFonts w:ascii="Times New Roman" w:hAnsi="Times New Roman" w:cs="Times New Roman"/>
          <w:b/>
          <w:sz w:val="24"/>
          <w:szCs w:val="24"/>
          <w:lang w:eastAsia="ru-RU"/>
        </w:rPr>
        <w:t>мақалада келесі ескертулер бар</w:t>
      </w:r>
      <w:r w:rsidR="008D6180" w:rsidRPr="009612B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1EDB96DA" w14:textId="77777777" w:rsidR="00336C93" w:rsidRPr="009612B5" w:rsidRDefault="00336C93" w:rsidP="00893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36E297" w14:textId="77777777" w:rsidR="008934A8" w:rsidRPr="009612B5" w:rsidRDefault="008934A8" w:rsidP="00893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09C101" w14:textId="5AC6B8DF" w:rsidR="006E5036" w:rsidRPr="009612B5" w:rsidRDefault="00BB2BC0" w:rsidP="00BB2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2B5">
        <w:rPr>
          <w:rFonts w:ascii="Times New Roman" w:hAnsi="Times New Roman" w:cs="Times New Roman"/>
          <w:sz w:val="24"/>
          <w:szCs w:val="24"/>
          <w:lang w:val="kk-KZ"/>
        </w:rPr>
        <w:t>Неліктен жұмыста 26% церий оксидінің (SDC) ұнтақтары</w:t>
      </w:r>
      <w:r w:rsidR="00E146A4" w:rsidRPr="009612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6A4" w:rsidRPr="009612B5">
        <w:rPr>
          <w:rFonts w:ascii="Times New Roman" w:hAnsi="Times New Roman" w:cs="Times New Roman"/>
          <w:sz w:val="24"/>
          <w:szCs w:val="24"/>
          <w:lang w:val="kk-KZ"/>
        </w:rPr>
        <w:t xml:space="preserve">синтездеудің схемаларын келтіргенде мақаланың құндылығы артатын еді. </w:t>
      </w:r>
    </w:p>
    <w:p w14:paraId="4E1C8EBE" w14:textId="7C1B09AC" w:rsidR="00BB2BC0" w:rsidRPr="009612B5" w:rsidRDefault="00BB2BC0" w:rsidP="00197B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2B5">
        <w:rPr>
          <w:rFonts w:ascii="Times New Roman" w:hAnsi="Times New Roman" w:cs="Times New Roman"/>
          <w:sz w:val="24"/>
          <w:szCs w:val="24"/>
        </w:rPr>
        <w:t xml:space="preserve">Егер самариймен белсендірілген цезийдің кристалдық құрылымы жоғары температурада </w:t>
      </w:r>
      <w:r w:rsidR="00E146A4" w:rsidRPr="009612B5">
        <w:rPr>
          <w:rFonts w:ascii="Times New Roman" w:hAnsi="Times New Roman" w:cs="Times New Roman"/>
          <w:sz w:val="24"/>
          <w:szCs w:val="24"/>
          <w:lang w:val="kk-KZ"/>
        </w:rPr>
        <w:t xml:space="preserve">түзілетін </w:t>
      </w:r>
      <w:r w:rsidRPr="009612B5">
        <w:rPr>
          <w:rFonts w:ascii="Times New Roman" w:hAnsi="Times New Roman" w:cs="Times New Roman"/>
          <w:sz w:val="24"/>
          <w:szCs w:val="24"/>
        </w:rPr>
        <w:t xml:space="preserve">болса, онда неге зерттеулер 1000°дейін жүргізіледі? Мүмкін 1000℃ - ден 2000℃ - ге дейін жасаған дұрыс шығар? </w:t>
      </w:r>
    </w:p>
    <w:p w14:paraId="799F99F0" w14:textId="561C7CF6" w:rsidR="008934A8" w:rsidRDefault="00516B42" w:rsidP="008934A8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16B42">
        <w:rPr>
          <w:rFonts w:ascii="Times New Roman" w:eastAsia="Times New Roman" w:hAnsi="Times New Roman"/>
          <w:sz w:val="24"/>
          <w:szCs w:val="24"/>
        </w:rPr>
        <w:t>Бұл ескертулер тек ұсынымдық сипатқа ие және болашақ зерттеулерге бағытталған</w:t>
      </w:r>
      <w:r w:rsidR="00E54243" w:rsidRPr="00E54243">
        <w:rPr>
          <w:rFonts w:ascii="Times New Roman" w:eastAsia="Times New Roman" w:hAnsi="Times New Roman"/>
          <w:sz w:val="24"/>
          <w:szCs w:val="24"/>
        </w:rPr>
        <w:t>.</w:t>
      </w:r>
    </w:p>
    <w:p w14:paraId="5C7655D1" w14:textId="77777777" w:rsidR="009612B5" w:rsidRDefault="009612B5" w:rsidP="008934A8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6FC84881" w14:textId="0E11D072" w:rsidR="00762D5A" w:rsidRPr="00B21DA4" w:rsidRDefault="00516B42" w:rsidP="008934A8">
      <w:pPr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16B42">
        <w:rPr>
          <w:rFonts w:ascii="Times New Roman" w:eastAsia="Times New Roman" w:hAnsi="Times New Roman"/>
          <w:sz w:val="24"/>
          <w:szCs w:val="24"/>
        </w:rPr>
        <w:t>Мақаланы авторлық нұсқада қабылдауға болады</w:t>
      </w:r>
      <w:r w:rsidR="00762D5A">
        <w:rPr>
          <w:rFonts w:ascii="Times New Roman" w:eastAsia="Times New Roman" w:hAnsi="Times New Roman"/>
          <w:sz w:val="24"/>
          <w:szCs w:val="24"/>
        </w:rPr>
        <w:t>.</w:t>
      </w:r>
    </w:p>
    <w:sectPr w:rsidR="00762D5A" w:rsidRPr="00B21DA4" w:rsidSect="002C3A0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5E59"/>
    <w:multiLevelType w:val="hybridMultilevel"/>
    <w:tmpl w:val="57F024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26CB6"/>
    <w:multiLevelType w:val="hybridMultilevel"/>
    <w:tmpl w:val="BEA41EEE"/>
    <w:lvl w:ilvl="0" w:tplc="05A02660">
      <w:start w:val="1"/>
      <w:numFmt w:val="decimal"/>
      <w:lvlText w:val="%1.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865213"/>
    <w:multiLevelType w:val="hybridMultilevel"/>
    <w:tmpl w:val="6834EB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53729"/>
    <w:multiLevelType w:val="hybridMultilevel"/>
    <w:tmpl w:val="57F024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22DBA"/>
    <w:multiLevelType w:val="hybridMultilevel"/>
    <w:tmpl w:val="A8B48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F405C"/>
    <w:multiLevelType w:val="hybridMultilevel"/>
    <w:tmpl w:val="2CBEF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92"/>
    <w:rsid w:val="0001672A"/>
    <w:rsid w:val="000343BC"/>
    <w:rsid w:val="00093438"/>
    <w:rsid w:val="00101370"/>
    <w:rsid w:val="001036E6"/>
    <w:rsid w:val="001053E6"/>
    <w:rsid w:val="001233C2"/>
    <w:rsid w:val="00134101"/>
    <w:rsid w:val="00232D8C"/>
    <w:rsid w:val="00262A92"/>
    <w:rsid w:val="002C3A0B"/>
    <w:rsid w:val="002E6B42"/>
    <w:rsid w:val="00321EA0"/>
    <w:rsid w:val="00321EA6"/>
    <w:rsid w:val="003357EE"/>
    <w:rsid w:val="00336C93"/>
    <w:rsid w:val="0034613A"/>
    <w:rsid w:val="00351F28"/>
    <w:rsid w:val="00382417"/>
    <w:rsid w:val="003E1926"/>
    <w:rsid w:val="00435292"/>
    <w:rsid w:val="00442161"/>
    <w:rsid w:val="004870E4"/>
    <w:rsid w:val="004A675F"/>
    <w:rsid w:val="004D449F"/>
    <w:rsid w:val="00516B42"/>
    <w:rsid w:val="00560EB1"/>
    <w:rsid w:val="00573031"/>
    <w:rsid w:val="005D5254"/>
    <w:rsid w:val="006362C3"/>
    <w:rsid w:val="006366F5"/>
    <w:rsid w:val="006957B6"/>
    <w:rsid w:val="006D0979"/>
    <w:rsid w:val="006E21A5"/>
    <w:rsid w:val="006E2715"/>
    <w:rsid w:val="006E5036"/>
    <w:rsid w:val="007008BB"/>
    <w:rsid w:val="007040F4"/>
    <w:rsid w:val="007131E0"/>
    <w:rsid w:val="00762D5A"/>
    <w:rsid w:val="007703A9"/>
    <w:rsid w:val="00795473"/>
    <w:rsid w:val="007B1D7C"/>
    <w:rsid w:val="007B4337"/>
    <w:rsid w:val="00821DB1"/>
    <w:rsid w:val="00823B6C"/>
    <w:rsid w:val="008328D7"/>
    <w:rsid w:val="00836087"/>
    <w:rsid w:val="00866EF9"/>
    <w:rsid w:val="00867796"/>
    <w:rsid w:val="00884FF6"/>
    <w:rsid w:val="008934A8"/>
    <w:rsid w:val="008D6180"/>
    <w:rsid w:val="00920E43"/>
    <w:rsid w:val="009235FC"/>
    <w:rsid w:val="009612B5"/>
    <w:rsid w:val="00965924"/>
    <w:rsid w:val="00980E7C"/>
    <w:rsid w:val="009A7696"/>
    <w:rsid w:val="009C5592"/>
    <w:rsid w:val="009C7831"/>
    <w:rsid w:val="009D2A58"/>
    <w:rsid w:val="009E0248"/>
    <w:rsid w:val="00A3061B"/>
    <w:rsid w:val="00A36BE9"/>
    <w:rsid w:val="00A86654"/>
    <w:rsid w:val="00AA36D4"/>
    <w:rsid w:val="00AC7220"/>
    <w:rsid w:val="00B04F6C"/>
    <w:rsid w:val="00B21DA4"/>
    <w:rsid w:val="00B3238A"/>
    <w:rsid w:val="00B33DC1"/>
    <w:rsid w:val="00B34A10"/>
    <w:rsid w:val="00B57E20"/>
    <w:rsid w:val="00BB2BC0"/>
    <w:rsid w:val="00BB68D8"/>
    <w:rsid w:val="00BF138D"/>
    <w:rsid w:val="00BF588D"/>
    <w:rsid w:val="00BF6696"/>
    <w:rsid w:val="00C16085"/>
    <w:rsid w:val="00C26D53"/>
    <w:rsid w:val="00C32F83"/>
    <w:rsid w:val="00C469DE"/>
    <w:rsid w:val="00C570F4"/>
    <w:rsid w:val="00C6036D"/>
    <w:rsid w:val="00C7529D"/>
    <w:rsid w:val="00CD567F"/>
    <w:rsid w:val="00CE503D"/>
    <w:rsid w:val="00D1666A"/>
    <w:rsid w:val="00D61073"/>
    <w:rsid w:val="00D61FFC"/>
    <w:rsid w:val="00D66F55"/>
    <w:rsid w:val="00D70210"/>
    <w:rsid w:val="00D91DF3"/>
    <w:rsid w:val="00DC4169"/>
    <w:rsid w:val="00DE269A"/>
    <w:rsid w:val="00E06915"/>
    <w:rsid w:val="00E146A4"/>
    <w:rsid w:val="00E54243"/>
    <w:rsid w:val="00EB2430"/>
    <w:rsid w:val="00ED4408"/>
    <w:rsid w:val="00ED6F00"/>
    <w:rsid w:val="00EE1103"/>
    <w:rsid w:val="00EE620D"/>
    <w:rsid w:val="00F1723D"/>
    <w:rsid w:val="00F51E43"/>
    <w:rsid w:val="00F54696"/>
    <w:rsid w:val="00F724D0"/>
    <w:rsid w:val="00F918EE"/>
    <w:rsid w:val="00FA1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E15B9"/>
  <w15:docId w15:val="{641B57F5-F61B-49AB-AAC5-49647230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6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053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83"/>
    <w:rPr>
      <w:rFonts w:ascii="Segoe UI" w:hAnsi="Segoe UI" w:cs="Segoe UI"/>
      <w:sz w:val="18"/>
      <w:szCs w:val="18"/>
    </w:rPr>
  </w:style>
  <w:style w:type="paragraph" w:customStyle="1" w:styleId="show">
    <w:name w:val="show"/>
    <w:basedOn w:val="Normal"/>
    <w:uiPriority w:val="99"/>
    <w:qFormat/>
    <w:rsid w:val="00EB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5391</Characters>
  <Application>Microsoft Office Word</Application>
  <DocSecurity>0</DocSecurity>
  <Lines>128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Wibtek</dc:creator>
  <cp:lastModifiedBy>Studentai</cp:lastModifiedBy>
  <cp:revision>2</cp:revision>
  <cp:lastPrinted>2018-02-07T05:05:00Z</cp:lastPrinted>
  <dcterms:created xsi:type="dcterms:W3CDTF">2025-01-22T10:23:00Z</dcterms:created>
  <dcterms:modified xsi:type="dcterms:W3CDTF">2025-01-22T10:23:00Z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91e3aff0cce3e232289cda7293806c3b89668a5974b5d8ee778eed6214adc001</vt:lpwstr>
  </property>
</Properties>
</file>